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D8" w:rsidRDefault="007918D8">
      <w:pPr>
        <w:pStyle w:val="BodyText"/>
        <w:spacing w:before="10"/>
        <w:rPr>
          <w:rFonts w:ascii="Times New Roman"/>
          <w:sz w:val="14"/>
        </w:rPr>
      </w:pPr>
    </w:p>
    <w:p w:rsidR="005430C8" w:rsidRPr="005430C8" w:rsidRDefault="005430C8" w:rsidP="005430C8">
      <w:pPr>
        <w:ind w:left="1701" w:right="864" w:hanging="851"/>
        <w:rPr>
          <w:b/>
          <w:sz w:val="28"/>
          <w:szCs w:val="28"/>
        </w:rPr>
      </w:pPr>
      <w:r>
        <w:rPr>
          <w:sz w:val="48"/>
          <w:szCs w:val="48"/>
        </w:rPr>
        <w:t xml:space="preserve">            </w:t>
      </w:r>
      <w:r w:rsidRPr="005430C8">
        <w:rPr>
          <w:b/>
          <w:sz w:val="28"/>
          <w:szCs w:val="28"/>
        </w:rPr>
        <w:t>NICCO UCO ALLIANCE CREDIT LTD</w:t>
      </w:r>
    </w:p>
    <w:p w:rsidR="005430C8" w:rsidRPr="005430C8" w:rsidRDefault="005430C8" w:rsidP="005430C8">
      <w:pPr>
        <w:ind w:left="1701" w:right="864" w:hanging="851"/>
        <w:rPr>
          <w:b/>
        </w:rPr>
      </w:pPr>
      <w:r w:rsidRPr="005430C8">
        <w:rPr>
          <w:b/>
          <w:sz w:val="28"/>
          <w:szCs w:val="28"/>
        </w:rPr>
        <w:t xml:space="preserve">                     </w:t>
      </w:r>
      <w:r>
        <w:rPr>
          <w:b/>
          <w:sz w:val="28"/>
          <w:szCs w:val="28"/>
        </w:rPr>
        <w:t xml:space="preserve">      </w:t>
      </w:r>
      <w:r w:rsidRPr="005430C8">
        <w:rPr>
          <w:b/>
          <w:sz w:val="28"/>
          <w:szCs w:val="28"/>
        </w:rPr>
        <w:t xml:space="preserve"> </w:t>
      </w:r>
      <w:r w:rsidRPr="005430C8">
        <w:rPr>
          <w:b/>
        </w:rPr>
        <w:t>CIN: L65910WB1984PLC037614</w:t>
      </w:r>
    </w:p>
    <w:p w:rsidR="005430C8" w:rsidRPr="005430C8" w:rsidRDefault="005430C8" w:rsidP="005430C8">
      <w:pPr>
        <w:ind w:left="1701" w:right="864" w:hanging="851"/>
        <w:rPr>
          <w:b/>
        </w:rPr>
      </w:pPr>
      <w:r>
        <w:rPr>
          <w:b/>
        </w:rPr>
        <w:t xml:space="preserve">         </w:t>
      </w:r>
      <w:r w:rsidRPr="005430C8">
        <w:rPr>
          <w:b/>
        </w:rPr>
        <w:t xml:space="preserve"> Reg. Office</w:t>
      </w:r>
      <w:r>
        <w:rPr>
          <w:b/>
        </w:rPr>
        <w:t xml:space="preserve"> ; NICCO HOUSE, 2, HARE STREET,</w:t>
      </w:r>
      <w:r w:rsidRPr="005430C8">
        <w:rPr>
          <w:b/>
        </w:rPr>
        <w:t>KOLKATA 700001</w:t>
      </w:r>
    </w:p>
    <w:p w:rsidR="005430C8" w:rsidRPr="005430C8" w:rsidRDefault="005430C8" w:rsidP="005430C8">
      <w:pPr>
        <w:ind w:left="1701" w:right="864" w:hanging="851"/>
        <w:rPr>
          <w:b/>
        </w:rPr>
      </w:pPr>
      <w:r>
        <w:rPr>
          <w:b/>
        </w:rPr>
        <w:t xml:space="preserve">          </w:t>
      </w:r>
      <w:r w:rsidRPr="005430C8">
        <w:rPr>
          <w:b/>
        </w:rPr>
        <w:t>Tel : 0330 40056499/40035159, E-mail : nufslcal@gmail.com</w:t>
      </w:r>
    </w:p>
    <w:p w:rsidR="005430C8" w:rsidRPr="005430C8" w:rsidRDefault="005430C8" w:rsidP="005430C8">
      <w:pPr>
        <w:ind w:left="1701" w:right="864" w:hanging="851"/>
        <w:rPr>
          <w:b/>
          <w:sz w:val="28"/>
          <w:szCs w:val="28"/>
        </w:rPr>
      </w:pPr>
    </w:p>
    <w:p w:rsidR="005430C8" w:rsidRDefault="005430C8" w:rsidP="005430C8"/>
    <w:p w:rsidR="007918D8" w:rsidRDefault="007950E7">
      <w:pPr>
        <w:spacing w:before="244" w:line="290" w:lineRule="auto"/>
        <w:ind w:left="458" w:right="119"/>
        <w:jc w:val="both"/>
        <w:rPr>
          <w:b/>
          <w:sz w:val="18"/>
        </w:rPr>
      </w:pPr>
      <w:r>
        <w:rPr>
          <w:b/>
          <w:w w:val="105"/>
          <w:sz w:val="18"/>
        </w:rPr>
        <w:t xml:space="preserve">POLICY FOR DETERMINATION OF MATERIALITY &amp; DISCLOSURE OF EVENTS OR </w:t>
      </w:r>
      <w:r>
        <w:rPr>
          <w:b/>
          <w:spacing w:val="-2"/>
          <w:w w:val="105"/>
          <w:sz w:val="18"/>
        </w:rPr>
        <w:t>INFORMATION</w:t>
      </w:r>
    </w:p>
    <w:p w:rsidR="007918D8" w:rsidRDefault="007950E7">
      <w:pPr>
        <w:pStyle w:val="BodyText"/>
        <w:spacing w:before="184" w:line="249" w:lineRule="auto"/>
        <w:ind w:left="458" w:right="115"/>
        <w:jc w:val="both"/>
      </w:pPr>
      <w:r>
        <w:rPr>
          <w:w w:val="105"/>
        </w:rPr>
        <w:t>Pursuant</w:t>
      </w:r>
      <w:r>
        <w:rPr>
          <w:spacing w:val="-6"/>
          <w:w w:val="105"/>
        </w:rPr>
        <w:t xml:space="preserve"> </w:t>
      </w:r>
      <w:r>
        <w:rPr>
          <w:w w:val="105"/>
        </w:rPr>
        <w:t>to</w:t>
      </w:r>
      <w:r>
        <w:rPr>
          <w:spacing w:val="-9"/>
          <w:w w:val="105"/>
        </w:rPr>
        <w:t xml:space="preserve"> </w:t>
      </w:r>
      <w:r>
        <w:rPr>
          <w:w w:val="105"/>
        </w:rPr>
        <w:t>Regulation</w:t>
      </w:r>
      <w:r>
        <w:rPr>
          <w:spacing w:val="-7"/>
          <w:w w:val="105"/>
        </w:rPr>
        <w:t xml:space="preserve"> </w:t>
      </w:r>
      <w:r>
        <w:rPr>
          <w:w w:val="105"/>
        </w:rPr>
        <w:t>30</w:t>
      </w:r>
      <w:r>
        <w:rPr>
          <w:spacing w:val="-7"/>
          <w:w w:val="105"/>
        </w:rPr>
        <w:t xml:space="preserve"> </w:t>
      </w:r>
      <w:r>
        <w:rPr>
          <w:w w:val="105"/>
        </w:rPr>
        <w:t>of</w:t>
      </w:r>
      <w:r>
        <w:rPr>
          <w:spacing w:val="-7"/>
          <w:w w:val="105"/>
        </w:rPr>
        <w:t xml:space="preserve"> </w:t>
      </w:r>
      <w:r>
        <w:rPr>
          <w:w w:val="105"/>
        </w:rPr>
        <w:t>the</w:t>
      </w:r>
      <w:r>
        <w:rPr>
          <w:spacing w:val="-6"/>
          <w:w w:val="105"/>
        </w:rPr>
        <w:t xml:space="preserve"> </w:t>
      </w:r>
      <w:r>
        <w:rPr>
          <w:w w:val="105"/>
        </w:rPr>
        <w:t>SEBI</w:t>
      </w:r>
      <w:r>
        <w:rPr>
          <w:spacing w:val="-6"/>
          <w:w w:val="105"/>
        </w:rPr>
        <w:t xml:space="preserve"> </w:t>
      </w:r>
      <w:r>
        <w:rPr>
          <w:w w:val="105"/>
        </w:rPr>
        <w:t>(Listing</w:t>
      </w:r>
      <w:r>
        <w:rPr>
          <w:spacing w:val="-7"/>
          <w:w w:val="105"/>
        </w:rPr>
        <w:t xml:space="preserve"> </w:t>
      </w:r>
      <w:r>
        <w:rPr>
          <w:w w:val="105"/>
        </w:rPr>
        <w:t>Obligations</w:t>
      </w:r>
      <w:r>
        <w:rPr>
          <w:spacing w:val="-6"/>
          <w:w w:val="105"/>
        </w:rPr>
        <w:t xml:space="preserve"> </w:t>
      </w:r>
      <w:r>
        <w:rPr>
          <w:w w:val="105"/>
        </w:rPr>
        <w:t>and</w:t>
      </w:r>
      <w:r>
        <w:rPr>
          <w:spacing w:val="-6"/>
          <w:w w:val="105"/>
        </w:rPr>
        <w:t xml:space="preserve"> </w:t>
      </w:r>
      <w:r>
        <w:rPr>
          <w:w w:val="105"/>
        </w:rPr>
        <w:t>Disclosure</w:t>
      </w:r>
      <w:r>
        <w:rPr>
          <w:spacing w:val="-7"/>
          <w:w w:val="105"/>
        </w:rPr>
        <w:t xml:space="preserve"> </w:t>
      </w:r>
      <w:r>
        <w:rPr>
          <w:w w:val="105"/>
        </w:rPr>
        <w:t>Requirements)</w:t>
      </w:r>
      <w:r>
        <w:rPr>
          <w:spacing w:val="-9"/>
          <w:w w:val="105"/>
        </w:rPr>
        <w:t xml:space="preserve"> </w:t>
      </w:r>
      <w:r>
        <w:rPr>
          <w:w w:val="105"/>
        </w:rPr>
        <w:t>Regulations, 2015, the Company has formulated and adopted</w:t>
      </w:r>
      <w:r>
        <w:rPr>
          <w:w w:val="105"/>
        </w:rPr>
        <w:t xml:space="preserve"> the Policy for Determination of Materiality &amp; Disclosure of events or information at the Meeting of the Board of Directors held on 26.05.2023</w:t>
      </w:r>
      <w:r>
        <w:rPr>
          <w:w w:val="105"/>
        </w:rPr>
        <w:t>.</w:t>
      </w:r>
    </w:p>
    <w:p w:rsidR="007918D8" w:rsidRDefault="007918D8">
      <w:pPr>
        <w:pStyle w:val="BodyText"/>
        <w:spacing w:before="10"/>
      </w:pPr>
    </w:p>
    <w:p w:rsidR="007918D8" w:rsidRDefault="007950E7">
      <w:pPr>
        <w:pStyle w:val="BodyText"/>
        <w:ind w:left="458"/>
        <w:jc w:val="both"/>
      </w:pPr>
      <w:r>
        <w:rPr>
          <w:w w:val="105"/>
        </w:rPr>
        <w:t>The</w:t>
      </w:r>
      <w:r>
        <w:rPr>
          <w:spacing w:val="-7"/>
          <w:w w:val="105"/>
        </w:rPr>
        <w:t xml:space="preserve"> </w:t>
      </w:r>
      <w:r>
        <w:rPr>
          <w:w w:val="105"/>
        </w:rPr>
        <w:t>policy</w:t>
      </w:r>
      <w:r>
        <w:rPr>
          <w:spacing w:val="-7"/>
          <w:w w:val="105"/>
        </w:rPr>
        <w:t xml:space="preserve"> </w:t>
      </w:r>
      <w:r>
        <w:rPr>
          <w:w w:val="105"/>
        </w:rPr>
        <w:t>is</w:t>
      </w:r>
      <w:r>
        <w:rPr>
          <w:spacing w:val="-5"/>
          <w:w w:val="105"/>
        </w:rPr>
        <w:t xml:space="preserve"> </w:t>
      </w:r>
      <w:r>
        <w:rPr>
          <w:w w:val="105"/>
        </w:rPr>
        <w:t>as</w:t>
      </w:r>
      <w:r>
        <w:rPr>
          <w:spacing w:val="-7"/>
          <w:w w:val="105"/>
        </w:rPr>
        <w:t xml:space="preserve"> </w:t>
      </w:r>
      <w:r>
        <w:rPr>
          <w:spacing w:val="-2"/>
          <w:w w:val="105"/>
        </w:rPr>
        <w:t>follows:</w:t>
      </w:r>
    </w:p>
    <w:p w:rsidR="007918D8" w:rsidRDefault="007918D8">
      <w:pPr>
        <w:pStyle w:val="BodyText"/>
        <w:spacing w:before="9"/>
        <w:rPr>
          <w:sz w:val="19"/>
        </w:rPr>
      </w:pPr>
    </w:p>
    <w:p w:rsidR="007918D8" w:rsidRDefault="007950E7">
      <w:pPr>
        <w:pStyle w:val="ListParagraph"/>
        <w:numPr>
          <w:ilvl w:val="0"/>
          <w:numId w:val="1"/>
        </w:numPr>
        <w:tabs>
          <w:tab w:val="left" w:pos="459"/>
        </w:tabs>
        <w:spacing w:line="252" w:lineRule="auto"/>
        <w:jc w:val="both"/>
        <w:rPr>
          <w:sz w:val="18"/>
        </w:rPr>
      </w:pPr>
      <w:r>
        <w:rPr>
          <w:w w:val="105"/>
          <w:sz w:val="18"/>
        </w:rPr>
        <w:t>Pursuant to Regulation 30(1) of the said regulation</w:t>
      </w:r>
      <w:r>
        <w:rPr>
          <w:spacing w:val="-1"/>
          <w:w w:val="105"/>
          <w:sz w:val="18"/>
        </w:rPr>
        <w:t xml:space="preserve"> </w:t>
      </w:r>
      <w:r>
        <w:rPr>
          <w:w w:val="105"/>
          <w:sz w:val="18"/>
        </w:rPr>
        <w:t>Nicco</w:t>
      </w:r>
      <w:r w:rsidR="00BD1919">
        <w:rPr>
          <w:w w:val="105"/>
          <w:sz w:val="18"/>
        </w:rPr>
        <w:t xml:space="preserve"> Uco Alliance Credit</w:t>
      </w:r>
      <w:r>
        <w:rPr>
          <w:w w:val="105"/>
          <w:sz w:val="18"/>
        </w:rPr>
        <w:t xml:space="preserve"> Limited (N</w:t>
      </w:r>
      <w:r w:rsidR="00BD1919">
        <w:rPr>
          <w:w w:val="105"/>
          <w:sz w:val="18"/>
        </w:rPr>
        <w:t>UAC</w:t>
      </w:r>
      <w:r>
        <w:rPr>
          <w:w w:val="105"/>
          <w:sz w:val="18"/>
        </w:rPr>
        <w:t>L)</w:t>
      </w:r>
      <w:r>
        <w:rPr>
          <w:spacing w:val="-3"/>
          <w:w w:val="105"/>
          <w:sz w:val="18"/>
        </w:rPr>
        <w:t xml:space="preserve"> </w:t>
      </w:r>
      <w:r>
        <w:rPr>
          <w:w w:val="105"/>
          <w:sz w:val="18"/>
        </w:rPr>
        <w:t>shall make disclosures</w:t>
      </w:r>
      <w:r>
        <w:rPr>
          <w:spacing w:val="-2"/>
          <w:w w:val="105"/>
          <w:sz w:val="18"/>
        </w:rPr>
        <w:t xml:space="preserve"> </w:t>
      </w:r>
      <w:r>
        <w:rPr>
          <w:w w:val="105"/>
          <w:sz w:val="18"/>
        </w:rPr>
        <w:t>of</w:t>
      </w:r>
      <w:r>
        <w:rPr>
          <w:spacing w:val="-4"/>
          <w:w w:val="105"/>
          <w:sz w:val="18"/>
        </w:rPr>
        <w:t xml:space="preserve"> </w:t>
      </w:r>
      <w:r>
        <w:rPr>
          <w:w w:val="105"/>
          <w:sz w:val="18"/>
        </w:rPr>
        <w:t>any</w:t>
      </w:r>
      <w:r>
        <w:rPr>
          <w:spacing w:val="-1"/>
          <w:w w:val="105"/>
          <w:sz w:val="18"/>
        </w:rPr>
        <w:t xml:space="preserve"> </w:t>
      </w:r>
      <w:r>
        <w:rPr>
          <w:w w:val="105"/>
          <w:sz w:val="18"/>
        </w:rPr>
        <w:t>events</w:t>
      </w:r>
      <w:r>
        <w:rPr>
          <w:spacing w:val="-4"/>
          <w:w w:val="105"/>
          <w:sz w:val="18"/>
        </w:rPr>
        <w:t xml:space="preserve"> </w:t>
      </w:r>
      <w:r>
        <w:rPr>
          <w:w w:val="105"/>
          <w:sz w:val="18"/>
        </w:rPr>
        <w:t>or</w:t>
      </w:r>
      <w:r>
        <w:rPr>
          <w:spacing w:val="-4"/>
          <w:w w:val="105"/>
          <w:sz w:val="18"/>
        </w:rPr>
        <w:t xml:space="preserve"> </w:t>
      </w:r>
      <w:r>
        <w:rPr>
          <w:w w:val="105"/>
          <w:sz w:val="18"/>
        </w:rPr>
        <w:t>information</w:t>
      </w:r>
      <w:r>
        <w:rPr>
          <w:spacing w:val="-4"/>
          <w:w w:val="105"/>
          <w:sz w:val="18"/>
        </w:rPr>
        <w:t xml:space="preserve"> </w:t>
      </w:r>
      <w:r>
        <w:rPr>
          <w:w w:val="105"/>
          <w:sz w:val="18"/>
        </w:rPr>
        <w:t>to</w:t>
      </w:r>
      <w:r>
        <w:rPr>
          <w:spacing w:val="-4"/>
          <w:w w:val="105"/>
          <w:sz w:val="18"/>
        </w:rPr>
        <w:t xml:space="preserve"> </w:t>
      </w:r>
      <w:r>
        <w:rPr>
          <w:w w:val="105"/>
          <w:sz w:val="18"/>
        </w:rPr>
        <w:t>the</w:t>
      </w:r>
      <w:r>
        <w:rPr>
          <w:spacing w:val="-2"/>
          <w:w w:val="105"/>
          <w:sz w:val="18"/>
        </w:rPr>
        <w:t xml:space="preserve"> </w:t>
      </w:r>
      <w:r>
        <w:rPr>
          <w:w w:val="105"/>
          <w:sz w:val="18"/>
        </w:rPr>
        <w:t>Stock</w:t>
      </w:r>
      <w:r>
        <w:rPr>
          <w:spacing w:val="-3"/>
          <w:w w:val="105"/>
          <w:sz w:val="18"/>
        </w:rPr>
        <w:t xml:space="preserve"> </w:t>
      </w:r>
      <w:r>
        <w:rPr>
          <w:w w:val="105"/>
          <w:sz w:val="18"/>
        </w:rPr>
        <w:t>Exchanges</w:t>
      </w:r>
      <w:r>
        <w:rPr>
          <w:spacing w:val="-4"/>
          <w:w w:val="105"/>
          <w:sz w:val="18"/>
        </w:rPr>
        <w:t xml:space="preserve"> </w:t>
      </w:r>
      <w:r>
        <w:rPr>
          <w:w w:val="105"/>
          <w:sz w:val="18"/>
        </w:rPr>
        <w:t>which,</w:t>
      </w:r>
      <w:r>
        <w:rPr>
          <w:spacing w:val="-4"/>
          <w:w w:val="105"/>
          <w:sz w:val="18"/>
        </w:rPr>
        <w:t xml:space="preserve"> </w:t>
      </w:r>
      <w:r>
        <w:rPr>
          <w:w w:val="105"/>
          <w:sz w:val="18"/>
        </w:rPr>
        <w:t>in</w:t>
      </w:r>
      <w:r>
        <w:rPr>
          <w:spacing w:val="-6"/>
          <w:w w:val="105"/>
          <w:sz w:val="18"/>
        </w:rPr>
        <w:t xml:space="preserve"> </w:t>
      </w:r>
      <w:r>
        <w:rPr>
          <w:w w:val="105"/>
          <w:sz w:val="18"/>
        </w:rPr>
        <w:t>the</w:t>
      </w:r>
      <w:r>
        <w:rPr>
          <w:spacing w:val="-4"/>
          <w:w w:val="105"/>
          <w:sz w:val="18"/>
        </w:rPr>
        <w:t xml:space="preserve"> </w:t>
      </w:r>
      <w:r>
        <w:rPr>
          <w:w w:val="105"/>
          <w:sz w:val="18"/>
        </w:rPr>
        <w:t>opinion</w:t>
      </w:r>
      <w:r>
        <w:rPr>
          <w:spacing w:val="-4"/>
          <w:w w:val="105"/>
          <w:sz w:val="18"/>
        </w:rPr>
        <w:t xml:space="preserve"> </w:t>
      </w:r>
      <w:r>
        <w:rPr>
          <w:w w:val="105"/>
          <w:sz w:val="18"/>
        </w:rPr>
        <w:t>of</w:t>
      </w:r>
      <w:r>
        <w:rPr>
          <w:spacing w:val="-4"/>
          <w:w w:val="105"/>
          <w:sz w:val="18"/>
        </w:rPr>
        <w:t xml:space="preserve"> </w:t>
      </w:r>
      <w:r>
        <w:rPr>
          <w:w w:val="105"/>
          <w:sz w:val="18"/>
        </w:rPr>
        <w:t>the</w:t>
      </w:r>
      <w:r>
        <w:rPr>
          <w:spacing w:val="-4"/>
          <w:w w:val="105"/>
          <w:sz w:val="18"/>
        </w:rPr>
        <w:t xml:space="preserve"> </w:t>
      </w:r>
      <w:r>
        <w:rPr>
          <w:w w:val="105"/>
          <w:sz w:val="18"/>
        </w:rPr>
        <w:t>Board</w:t>
      </w:r>
      <w:r>
        <w:rPr>
          <w:spacing w:val="-4"/>
          <w:w w:val="105"/>
          <w:sz w:val="18"/>
        </w:rPr>
        <w:t xml:space="preserve"> </w:t>
      </w:r>
      <w:r>
        <w:rPr>
          <w:w w:val="105"/>
          <w:sz w:val="18"/>
        </w:rPr>
        <w:t>of Directors of the Company, are material.</w:t>
      </w:r>
    </w:p>
    <w:p w:rsidR="007918D8" w:rsidRDefault="007918D8">
      <w:pPr>
        <w:pStyle w:val="BodyText"/>
        <w:spacing w:before="6"/>
      </w:pPr>
    </w:p>
    <w:p w:rsidR="007918D8" w:rsidRDefault="007950E7">
      <w:pPr>
        <w:pStyle w:val="ListParagraph"/>
        <w:numPr>
          <w:ilvl w:val="0"/>
          <w:numId w:val="1"/>
        </w:numPr>
        <w:tabs>
          <w:tab w:val="left" w:pos="459"/>
        </w:tabs>
        <w:spacing w:line="249" w:lineRule="auto"/>
        <w:ind w:right="117"/>
        <w:jc w:val="both"/>
        <w:rPr>
          <w:sz w:val="18"/>
        </w:rPr>
      </w:pPr>
      <w:r>
        <w:rPr>
          <w:w w:val="105"/>
          <w:sz w:val="18"/>
        </w:rPr>
        <w:t>Pursuant</w:t>
      </w:r>
      <w:r>
        <w:rPr>
          <w:spacing w:val="-3"/>
          <w:w w:val="105"/>
          <w:sz w:val="18"/>
        </w:rPr>
        <w:t xml:space="preserve"> </w:t>
      </w:r>
      <w:r>
        <w:rPr>
          <w:w w:val="105"/>
          <w:sz w:val="18"/>
        </w:rPr>
        <w:t>to</w:t>
      </w:r>
      <w:r>
        <w:rPr>
          <w:spacing w:val="-2"/>
          <w:w w:val="105"/>
          <w:sz w:val="18"/>
        </w:rPr>
        <w:t xml:space="preserve"> </w:t>
      </w:r>
      <w:r>
        <w:rPr>
          <w:w w:val="105"/>
          <w:sz w:val="18"/>
        </w:rPr>
        <w:t>the regulations</w:t>
      </w:r>
      <w:r>
        <w:rPr>
          <w:spacing w:val="-1"/>
          <w:w w:val="105"/>
          <w:sz w:val="18"/>
        </w:rPr>
        <w:t xml:space="preserve"> </w:t>
      </w:r>
      <w:r>
        <w:rPr>
          <w:w w:val="105"/>
          <w:sz w:val="18"/>
        </w:rPr>
        <w:t>the</w:t>
      </w:r>
      <w:r>
        <w:rPr>
          <w:spacing w:val="-3"/>
          <w:w w:val="105"/>
          <w:sz w:val="18"/>
        </w:rPr>
        <w:t xml:space="preserve"> </w:t>
      </w:r>
      <w:r>
        <w:rPr>
          <w:w w:val="105"/>
          <w:sz w:val="18"/>
        </w:rPr>
        <w:t>events</w:t>
      </w:r>
      <w:r>
        <w:rPr>
          <w:spacing w:val="-3"/>
          <w:w w:val="105"/>
          <w:sz w:val="18"/>
        </w:rPr>
        <w:t xml:space="preserve"> </w:t>
      </w:r>
      <w:r>
        <w:rPr>
          <w:w w:val="105"/>
          <w:sz w:val="18"/>
        </w:rPr>
        <w:t>and</w:t>
      </w:r>
      <w:r>
        <w:rPr>
          <w:spacing w:val="-1"/>
          <w:w w:val="105"/>
          <w:sz w:val="18"/>
        </w:rPr>
        <w:t xml:space="preserve"> </w:t>
      </w:r>
      <w:r>
        <w:rPr>
          <w:w w:val="105"/>
          <w:sz w:val="18"/>
        </w:rPr>
        <w:t>information</w:t>
      </w:r>
      <w:r>
        <w:rPr>
          <w:spacing w:val="-5"/>
          <w:w w:val="105"/>
          <w:sz w:val="18"/>
        </w:rPr>
        <w:t xml:space="preserve"> </w:t>
      </w:r>
      <w:r>
        <w:rPr>
          <w:w w:val="105"/>
          <w:sz w:val="18"/>
        </w:rPr>
        <w:t>to</w:t>
      </w:r>
      <w:r>
        <w:rPr>
          <w:spacing w:val="-2"/>
          <w:w w:val="105"/>
          <w:sz w:val="18"/>
        </w:rPr>
        <w:t xml:space="preserve"> </w:t>
      </w:r>
      <w:r>
        <w:rPr>
          <w:w w:val="105"/>
          <w:sz w:val="18"/>
        </w:rPr>
        <w:t>be</w:t>
      </w:r>
      <w:r>
        <w:rPr>
          <w:spacing w:val="-3"/>
          <w:w w:val="105"/>
          <w:sz w:val="18"/>
        </w:rPr>
        <w:t xml:space="preserve"> </w:t>
      </w:r>
      <w:r>
        <w:rPr>
          <w:w w:val="105"/>
          <w:sz w:val="18"/>
        </w:rPr>
        <w:t>disclosed</w:t>
      </w:r>
      <w:r>
        <w:rPr>
          <w:spacing w:val="-1"/>
          <w:w w:val="105"/>
          <w:sz w:val="18"/>
        </w:rPr>
        <w:t xml:space="preserve"> </w:t>
      </w:r>
      <w:r>
        <w:rPr>
          <w:w w:val="105"/>
          <w:sz w:val="18"/>
        </w:rPr>
        <w:t>to</w:t>
      </w:r>
      <w:r>
        <w:rPr>
          <w:spacing w:val="-5"/>
          <w:w w:val="105"/>
          <w:sz w:val="18"/>
        </w:rPr>
        <w:t xml:space="preserve"> </w:t>
      </w:r>
      <w:r>
        <w:rPr>
          <w:w w:val="105"/>
          <w:sz w:val="18"/>
        </w:rPr>
        <w:t>the</w:t>
      </w:r>
      <w:r>
        <w:rPr>
          <w:spacing w:val="-3"/>
          <w:w w:val="105"/>
          <w:sz w:val="18"/>
        </w:rPr>
        <w:t xml:space="preserve"> </w:t>
      </w:r>
      <w:r>
        <w:rPr>
          <w:w w:val="105"/>
          <w:sz w:val="18"/>
        </w:rPr>
        <w:t>Stock</w:t>
      </w:r>
      <w:r>
        <w:rPr>
          <w:spacing w:val="-2"/>
          <w:w w:val="105"/>
          <w:sz w:val="18"/>
        </w:rPr>
        <w:t xml:space="preserve"> </w:t>
      </w:r>
      <w:r>
        <w:rPr>
          <w:w w:val="105"/>
          <w:sz w:val="18"/>
        </w:rPr>
        <w:t>Exchanges</w:t>
      </w:r>
      <w:r>
        <w:rPr>
          <w:spacing w:val="-1"/>
          <w:w w:val="105"/>
          <w:sz w:val="18"/>
        </w:rPr>
        <w:t xml:space="preserve"> </w:t>
      </w:r>
      <w:r>
        <w:rPr>
          <w:w w:val="105"/>
          <w:sz w:val="18"/>
        </w:rPr>
        <w:t>are in the nature of :</w:t>
      </w:r>
    </w:p>
    <w:p w:rsidR="007918D8" w:rsidRDefault="007918D8">
      <w:pPr>
        <w:pStyle w:val="BodyText"/>
        <w:spacing w:before="1"/>
        <w:rPr>
          <w:sz w:val="19"/>
        </w:rPr>
      </w:pPr>
    </w:p>
    <w:p w:rsidR="007918D8" w:rsidRDefault="007950E7">
      <w:pPr>
        <w:pStyle w:val="ListParagraph"/>
        <w:numPr>
          <w:ilvl w:val="1"/>
          <w:numId w:val="1"/>
        </w:numPr>
        <w:tabs>
          <w:tab w:val="left" w:pos="797"/>
        </w:tabs>
        <w:spacing w:line="249" w:lineRule="auto"/>
        <w:ind w:right="112"/>
        <w:jc w:val="both"/>
        <w:rPr>
          <w:sz w:val="18"/>
        </w:rPr>
      </w:pPr>
      <w:r>
        <w:rPr>
          <w:b/>
          <w:w w:val="105"/>
          <w:sz w:val="18"/>
        </w:rPr>
        <w:t xml:space="preserve">Deemed Material Events </w:t>
      </w:r>
      <w:r>
        <w:rPr>
          <w:w w:val="105"/>
          <w:sz w:val="18"/>
        </w:rPr>
        <w:t xml:space="preserve">– The events as specified in the </w:t>
      </w:r>
      <w:r>
        <w:rPr>
          <w:b/>
          <w:w w:val="105"/>
          <w:sz w:val="18"/>
        </w:rPr>
        <w:t xml:space="preserve">Schedule III (PART A) </w:t>
      </w:r>
      <w:r>
        <w:rPr>
          <w:w w:val="105"/>
          <w:sz w:val="18"/>
        </w:rPr>
        <w:t>of SEBI (Listing Obligations and Disclosure Requirements) Regulations, 2015 as amended from time to time,</w:t>
      </w:r>
      <w:r>
        <w:rPr>
          <w:spacing w:val="-1"/>
          <w:w w:val="105"/>
          <w:sz w:val="18"/>
        </w:rPr>
        <w:t xml:space="preserve"> </w:t>
      </w:r>
      <w:r>
        <w:rPr>
          <w:w w:val="105"/>
          <w:sz w:val="18"/>
        </w:rPr>
        <w:t>will</w:t>
      </w:r>
      <w:r>
        <w:rPr>
          <w:spacing w:val="-4"/>
          <w:w w:val="105"/>
          <w:sz w:val="18"/>
        </w:rPr>
        <w:t xml:space="preserve"> </w:t>
      </w:r>
      <w:r>
        <w:rPr>
          <w:w w:val="105"/>
          <w:sz w:val="18"/>
        </w:rPr>
        <w:t>be</w:t>
      </w:r>
      <w:r>
        <w:rPr>
          <w:spacing w:val="-4"/>
          <w:w w:val="105"/>
          <w:sz w:val="18"/>
        </w:rPr>
        <w:t xml:space="preserve"> </w:t>
      </w:r>
      <w:r>
        <w:rPr>
          <w:w w:val="105"/>
          <w:sz w:val="18"/>
        </w:rPr>
        <w:t>considered to</w:t>
      </w:r>
      <w:r>
        <w:rPr>
          <w:spacing w:val="-4"/>
          <w:w w:val="105"/>
          <w:sz w:val="18"/>
        </w:rPr>
        <w:t xml:space="preserve"> </w:t>
      </w:r>
      <w:r>
        <w:rPr>
          <w:w w:val="105"/>
          <w:sz w:val="18"/>
        </w:rPr>
        <w:t>be</w:t>
      </w:r>
      <w:r>
        <w:rPr>
          <w:spacing w:val="-4"/>
          <w:w w:val="105"/>
          <w:sz w:val="18"/>
        </w:rPr>
        <w:t xml:space="preserve"> </w:t>
      </w:r>
      <w:r>
        <w:rPr>
          <w:w w:val="105"/>
          <w:sz w:val="18"/>
        </w:rPr>
        <w:t>Deemed</w:t>
      </w:r>
      <w:r>
        <w:rPr>
          <w:spacing w:val="-2"/>
          <w:w w:val="105"/>
          <w:sz w:val="18"/>
        </w:rPr>
        <w:t xml:space="preserve"> </w:t>
      </w:r>
      <w:r>
        <w:rPr>
          <w:w w:val="105"/>
          <w:sz w:val="18"/>
        </w:rPr>
        <w:t>material</w:t>
      </w:r>
      <w:r>
        <w:rPr>
          <w:spacing w:val="-2"/>
          <w:w w:val="105"/>
          <w:sz w:val="18"/>
        </w:rPr>
        <w:t xml:space="preserve"> </w:t>
      </w:r>
      <w:r>
        <w:rPr>
          <w:w w:val="105"/>
          <w:sz w:val="18"/>
        </w:rPr>
        <w:t>events</w:t>
      </w:r>
      <w:r>
        <w:rPr>
          <w:spacing w:val="-2"/>
          <w:w w:val="105"/>
          <w:sz w:val="18"/>
        </w:rPr>
        <w:t xml:space="preserve"> </w:t>
      </w:r>
      <w:r>
        <w:rPr>
          <w:w w:val="105"/>
          <w:sz w:val="18"/>
        </w:rPr>
        <w:t>and</w:t>
      </w:r>
      <w:r>
        <w:rPr>
          <w:spacing w:val="-2"/>
          <w:w w:val="105"/>
          <w:sz w:val="18"/>
        </w:rPr>
        <w:t xml:space="preserve"> </w:t>
      </w:r>
      <w:r>
        <w:rPr>
          <w:w w:val="105"/>
          <w:sz w:val="18"/>
        </w:rPr>
        <w:t>are</w:t>
      </w:r>
      <w:r>
        <w:rPr>
          <w:spacing w:val="-4"/>
          <w:w w:val="105"/>
          <w:sz w:val="18"/>
        </w:rPr>
        <w:t xml:space="preserve"> </w:t>
      </w:r>
      <w:r>
        <w:rPr>
          <w:w w:val="105"/>
          <w:sz w:val="18"/>
        </w:rPr>
        <w:t>to</w:t>
      </w:r>
      <w:r>
        <w:rPr>
          <w:spacing w:val="-4"/>
          <w:w w:val="105"/>
          <w:sz w:val="18"/>
        </w:rPr>
        <w:t xml:space="preserve"> </w:t>
      </w:r>
      <w:r>
        <w:rPr>
          <w:w w:val="105"/>
          <w:sz w:val="18"/>
        </w:rPr>
        <w:t>be</w:t>
      </w:r>
      <w:r>
        <w:rPr>
          <w:spacing w:val="-4"/>
          <w:w w:val="105"/>
          <w:sz w:val="18"/>
        </w:rPr>
        <w:t xml:space="preserve"> </w:t>
      </w:r>
      <w:r>
        <w:rPr>
          <w:w w:val="105"/>
          <w:sz w:val="18"/>
        </w:rPr>
        <w:t>mandatorily</w:t>
      </w:r>
      <w:r>
        <w:rPr>
          <w:spacing w:val="-1"/>
          <w:w w:val="105"/>
          <w:sz w:val="18"/>
        </w:rPr>
        <w:t xml:space="preserve"> </w:t>
      </w:r>
      <w:r>
        <w:rPr>
          <w:w w:val="105"/>
          <w:sz w:val="18"/>
        </w:rPr>
        <w:t>disclosed</w:t>
      </w:r>
      <w:r>
        <w:rPr>
          <w:spacing w:val="-2"/>
          <w:w w:val="105"/>
          <w:sz w:val="18"/>
        </w:rPr>
        <w:t xml:space="preserve"> </w:t>
      </w:r>
      <w:r>
        <w:rPr>
          <w:w w:val="105"/>
          <w:sz w:val="18"/>
        </w:rPr>
        <w:t>to</w:t>
      </w:r>
      <w:r>
        <w:rPr>
          <w:spacing w:val="-4"/>
          <w:w w:val="105"/>
          <w:sz w:val="18"/>
        </w:rPr>
        <w:t xml:space="preserve"> </w:t>
      </w:r>
      <w:r>
        <w:rPr>
          <w:w w:val="105"/>
          <w:sz w:val="18"/>
        </w:rPr>
        <w:t>the Stock</w:t>
      </w:r>
      <w:r>
        <w:rPr>
          <w:spacing w:val="-2"/>
          <w:w w:val="105"/>
          <w:sz w:val="18"/>
        </w:rPr>
        <w:t xml:space="preserve"> </w:t>
      </w:r>
      <w:r>
        <w:rPr>
          <w:w w:val="105"/>
          <w:sz w:val="18"/>
        </w:rPr>
        <w:t>Exchanges</w:t>
      </w:r>
      <w:r>
        <w:rPr>
          <w:spacing w:val="-1"/>
          <w:w w:val="105"/>
          <w:sz w:val="18"/>
        </w:rPr>
        <w:t xml:space="preserve"> </w:t>
      </w:r>
      <w:r>
        <w:rPr>
          <w:w w:val="105"/>
          <w:sz w:val="18"/>
        </w:rPr>
        <w:t>on</w:t>
      </w:r>
      <w:r>
        <w:rPr>
          <w:spacing w:val="-3"/>
          <w:w w:val="105"/>
          <w:sz w:val="18"/>
        </w:rPr>
        <w:t xml:space="preserve"> </w:t>
      </w:r>
      <w:r>
        <w:rPr>
          <w:w w:val="105"/>
          <w:sz w:val="18"/>
        </w:rPr>
        <w:t>which</w:t>
      </w:r>
      <w:r w:rsidR="00BD1919">
        <w:rPr>
          <w:spacing w:val="-5"/>
          <w:w w:val="105"/>
          <w:sz w:val="18"/>
        </w:rPr>
        <w:t xml:space="preserve"> NUAC</w:t>
      </w:r>
      <w:r>
        <w:rPr>
          <w:w w:val="105"/>
          <w:sz w:val="18"/>
        </w:rPr>
        <w:t>L</w:t>
      </w:r>
      <w:r>
        <w:rPr>
          <w:spacing w:val="-3"/>
          <w:w w:val="105"/>
          <w:sz w:val="18"/>
        </w:rPr>
        <w:t xml:space="preserve"> </w:t>
      </w:r>
      <w:r>
        <w:rPr>
          <w:w w:val="105"/>
          <w:sz w:val="18"/>
        </w:rPr>
        <w:t>is</w:t>
      </w:r>
      <w:r>
        <w:rPr>
          <w:spacing w:val="-3"/>
          <w:w w:val="105"/>
          <w:sz w:val="18"/>
        </w:rPr>
        <w:t xml:space="preserve"> </w:t>
      </w:r>
      <w:r>
        <w:rPr>
          <w:w w:val="105"/>
          <w:sz w:val="18"/>
        </w:rPr>
        <w:t>listed,</w:t>
      </w:r>
      <w:r>
        <w:rPr>
          <w:spacing w:val="-3"/>
          <w:w w:val="105"/>
          <w:sz w:val="18"/>
        </w:rPr>
        <w:t xml:space="preserve"> </w:t>
      </w:r>
      <w:r>
        <w:rPr>
          <w:w w:val="105"/>
          <w:sz w:val="18"/>
        </w:rPr>
        <w:t>in</w:t>
      </w:r>
      <w:r>
        <w:rPr>
          <w:spacing w:val="-5"/>
          <w:w w:val="105"/>
          <w:sz w:val="18"/>
        </w:rPr>
        <w:t xml:space="preserve"> </w:t>
      </w:r>
      <w:r>
        <w:rPr>
          <w:w w:val="105"/>
          <w:sz w:val="18"/>
        </w:rPr>
        <w:t>the</w:t>
      </w:r>
      <w:r>
        <w:rPr>
          <w:spacing w:val="-3"/>
          <w:w w:val="105"/>
          <w:sz w:val="18"/>
        </w:rPr>
        <w:t xml:space="preserve"> </w:t>
      </w:r>
      <w:r>
        <w:rPr>
          <w:w w:val="105"/>
          <w:sz w:val="18"/>
        </w:rPr>
        <w:t>manner</w:t>
      </w:r>
      <w:r>
        <w:rPr>
          <w:spacing w:val="-3"/>
          <w:w w:val="105"/>
          <w:sz w:val="18"/>
        </w:rPr>
        <w:t xml:space="preserve"> </w:t>
      </w:r>
      <w:r>
        <w:rPr>
          <w:w w:val="105"/>
          <w:sz w:val="18"/>
        </w:rPr>
        <w:t>as</w:t>
      </w:r>
      <w:r>
        <w:rPr>
          <w:spacing w:val="-3"/>
          <w:w w:val="105"/>
          <w:sz w:val="18"/>
        </w:rPr>
        <w:t xml:space="preserve"> </w:t>
      </w:r>
      <w:r>
        <w:rPr>
          <w:w w:val="105"/>
          <w:sz w:val="18"/>
        </w:rPr>
        <w:t>prescribed in</w:t>
      </w:r>
      <w:r>
        <w:rPr>
          <w:spacing w:val="-3"/>
          <w:w w:val="105"/>
          <w:sz w:val="18"/>
        </w:rPr>
        <w:t xml:space="preserve"> </w:t>
      </w:r>
      <w:r>
        <w:rPr>
          <w:w w:val="105"/>
          <w:sz w:val="18"/>
        </w:rPr>
        <w:t>regulation</w:t>
      </w:r>
      <w:r>
        <w:rPr>
          <w:spacing w:val="-5"/>
          <w:w w:val="105"/>
          <w:sz w:val="18"/>
        </w:rPr>
        <w:t xml:space="preserve"> </w:t>
      </w:r>
      <w:r>
        <w:rPr>
          <w:w w:val="105"/>
          <w:sz w:val="18"/>
        </w:rPr>
        <w:t>30</w:t>
      </w:r>
      <w:r>
        <w:rPr>
          <w:spacing w:val="-1"/>
          <w:w w:val="105"/>
          <w:sz w:val="18"/>
        </w:rPr>
        <w:t xml:space="preserve"> </w:t>
      </w:r>
      <w:r>
        <w:rPr>
          <w:w w:val="105"/>
          <w:sz w:val="18"/>
        </w:rPr>
        <w:t>of</w:t>
      </w:r>
      <w:r>
        <w:rPr>
          <w:spacing w:val="-5"/>
          <w:w w:val="105"/>
          <w:sz w:val="18"/>
        </w:rPr>
        <w:t xml:space="preserve"> </w:t>
      </w:r>
      <w:r>
        <w:rPr>
          <w:w w:val="105"/>
          <w:sz w:val="18"/>
        </w:rPr>
        <w:t>the</w:t>
      </w:r>
      <w:r>
        <w:rPr>
          <w:spacing w:val="-3"/>
          <w:w w:val="105"/>
          <w:sz w:val="18"/>
        </w:rPr>
        <w:t xml:space="preserve"> </w:t>
      </w:r>
      <w:r>
        <w:rPr>
          <w:w w:val="105"/>
          <w:sz w:val="18"/>
        </w:rPr>
        <w:t xml:space="preserve">said </w:t>
      </w:r>
      <w:r>
        <w:rPr>
          <w:spacing w:val="-2"/>
          <w:w w:val="105"/>
          <w:sz w:val="18"/>
        </w:rPr>
        <w:t>Regulation.</w:t>
      </w:r>
    </w:p>
    <w:p w:rsidR="007918D8" w:rsidRDefault="007918D8">
      <w:pPr>
        <w:pStyle w:val="BodyText"/>
        <w:spacing w:before="1"/>
        <w:rPr>
          <w:sz w:val="19"/>
        </w:rPr>
      </w:pPr>
    </w:p>
    <w:p w:rsidR="007918D8" w:rsidRDefault="007950E7">
      <w:pPr>
        <w:pStyle w:val="ListParagraph"/>
        <w:numPr>
          <w:ilvl w:val="1"/>
          <w:numId w:val="1"/>
        </w:numPr>
        <w:tabs>
          <w:tab w:val="left" w:pos="797"/>
        </w:tabs>
        <w:spacing w:before="1" w:line="249" w:lineRule="auto"/>
        <w:ind w:right="114"/>
        <w:jc w:val="both"/>
        <w:rPr>
          <w:sz w:val="18"/>
        </w:rPr>
      </w:pPr>
      <w:r>
        <w:rPr>
          <w:b/>
          <w:w w:val="105"/>
          <w:sz w:val="18"/>
        </w:rPr>
        <w:t>Other Events</w:t>
      </w:r>
      <w:r>
        <w:rPr>
          <w:w w:val="105"/>
          <w:sz w:val="18"/>
        </w:rPr>
        <w:t xml:space="preserve">: In respect of the events as specified in </w:t>
      </w:r>
      <w:r>
        <w:rPr>
          <w:b/>
          <w:w w:val="105"/>
          <w:sz w:val="18"/>
        </w:rPr>
        <w:t xml:space="preserve">Schedule III (PART B) </w:t>
      </w:r>
      <w:r>
        <w:rPr>
          <w:w w:val="105"/>
          <w:sz w:val="18"/>
        </w:rPr>
        <w:t>of the said regulation,</w:t>
      </w:r>
      <w:r>
        <w:rPr>
          <w:w w:val="105"/>
          <w:sz w:val="18"/>
        </w:rPr>
        <w:t xml:space="preserve"> the materiality will be determined by the Board of Directors of the Company on its own</w:t>
      </w:r>
      <w:r>
        <w:rPr>
          <w:spacing w:val="-4"/>
          <w:w w:val="105"/>
          <w:sz w:val="18"/>
        </w:rPr>
        <w:t xml:space="preserve"> </w:t>
      </w:r>
      <w:r>
        <w:rPr>
          <w:w w:val="105"/>
          <w:sz w:val="18"/>
        </w:rPr>
        <w:t>discretion</w:t>
      </w:r>
      <w:r>
        <w:rPr>
          <w:spacing w:val="-4"/>
          <w:w w:val="105"/>
          <w:sz w:val="18"/>
        </w:rPr>
        <w:t xml:space="preserve"> </w:t>
      </w:r>
      <w:r>
        <w:rPr>
          <w:w w:val="105"/>
          <w:sz w:val="18"/>
        </w:rPr>
        <w:t>subject</w:t>
      </w:r>
      <w:r>
        <w:rPr>
          <w:spacing w:val="-2"/>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criteria</w:t>
      </w:r>
      <w:r>
        <w:rPr>
          <w:spacing w:val="-2"/>
          <w:w w:val="105"/>
          <w:sz w:val="18"/>
        </w:rPr>
        <w:t xml:space="preserve"> </w:t>
      </w:r>
      <w:r>
        <w:rPr>
          <w:w w:val="105"/>
          <w:sz w:val="18"/>
        </w:rPr>
        <w:t>mentioned in</w:t>
      </w:r>
      <w:r>
        <w:rPr>
          <w:spacing w:val="-4"/>
          <w:w w:val="105"/>
          <w:sz w:val="18"/>
        </w:rPr>
        <w:t xml:space="preserve"> </w:t>
      </w:r>
      <w:r>
        <w:rPr>
          <w:w w:val="105"/>
          <w:sz w:val="18"/>
        </w:rPr>
        <w:t>sub-regulation</w:t>
      </w:r>
      <w:r>
        <w:rPr>
          <w:spacing w:val="-1"/>
          <w:w w:val="105"/>
          <w:sz w:val="18"/>
        </w:rPr>
        <w:t xml:space="preserve"> </w:t>
      </w:r>
      <w:r>
        <w:rPr>
          <w:w w:val="105"/>
          <w:sz w:val="18"/>
        </w:rPr>
        <w:t>(4)</w:t>
      </w:r>
      <w:r>
        <w:rPr>
          <w:spacing w:val="-4"/>
          <w:w w:val="105"/>
          <w:sz w:val="18"/>
        </w:rPr>
        <w:t xml:space="preserve"> </w:t>
      </w:r>
      <w:r>
        <w:rPr>
          <w:w w:val="105"/>
          <w:sz w:val="18"/>
        </w:rPr>
        <w:t>of</w:t>
      </w:r>
      <w:r>
        <w:rPr>
          <w:spacing w:val="-1"/>
          <w:w w:val="105"/>
          <w:sz w:val="18"/>
        </w:rPr>
        <w:t xml:space="preserve"> </w:t>
      </w:r>
      <w:r>
        <w:rPr>
          <w:w w:val="105"/>
          <w:sz w:val="18"/>
        </w:rPr>
        <w:t>Regulation</w:t>
      </w:r>
      <w:r>
        <w:rPr>
          <w:spacing w:val="-4"/>
          <w:w w:val="105"/>
          <w:sz w:val="18"/>
        </w:rPr>
        <w:t xml:space="preserve"> </w:t>
      </w:r>
      <w:r>
        <w:rPr>
          <w:w w:val="105"/>
          <w:sz w:val="18"/>
        </w:rPr>
        <w:t>30 of</w:t>
      </w:r>
      <w:r>
        <w:rPr>
          <w:spacing w:val="-4"/>
          <w:w w:val="105"/>
          <w:sz w:val="18"/>
        </w:rPr>
        <w:t xml:space="preserve"> </w:t>
      </w:r>
      <w:r>
        <w:rPr>
          <w:w w:val="105"/>
          <w:sz w:val="18"/>
        </w:rPr>
        <w:t>the</w:t>
      </w:r>
      <w:r>
        <w:rPr>
          <w:spacing w:val="-4"/>
          <w:w w:val="105"/>
          <w:sz w:val="18"/>
        </w:rPr>
        <w:t xml:space="preserve"> </w:t>
      </w:r>
      <w:r>
        <w:rPr>
          <w:w w:val="105"/>
          <w:sz w:val="18"/>
        </w:rPr>
        <w:t>said Regulation. The Board hereby authorises the Managing Director &amp;</w:t>
      </w:r>
      <w:r>
        <w:rPr>
          <w:w w:val="105"/>
          <w:sz w:val="18"/>
        </w:rPr>
        <w:t xml:space="preserve"> CEO of the Company to make the necessary</w:t>
      </w:r>
      <w:r>
        <w:rPr>
          <w:spacing w:val="-1"/>
          <w:w w:val="105"/>
          <w:sz w:val="18"/>
        </w:rPr>
        <w:t xml:space="preserve"> </w:t>
      </w:r>
      <w:r>
        <w:rPr>
          <w:w w:val="105"/>
          <w:sz w:val="18"/>
        </w:rPr>
        <w:t>disclosures</w:t>
      </w:r>
      <w:r>
        <w:rPr>
          <w:spacing w:val="-2"/>
          <w:w w:val="105"/>
          <w:sz w:val="18"/>
        </w:rPr>
        <w:t xml:space="preserve"> </w:t>
      </w:r>
      <w:r>
        <w:rPr>
          <w:w w:val="105"/>
          <w:sz w:val="18"/>
        </w:rPr>
        <w:t>to</w:t>
      </w:r>
      <w:r>
        <w:rPr>
          <w:spacing w:val="-4"/>
          <w:w w:val="105"/>
          <w:sz w:val="18"/>
        </w:rPr>
        <w:t xml:space="preserve"> </w:t>
      </w:r>
      <w:r>
        <w:rPr>
          <w:w w:val="105"/>
          <w:sz w:val="18"/>
        </w:rPr>
        <w:t>the</w:t>
      </w:r>
      <w:r>
        <w:rPr>
          <w:spacing w:val="-4"/>
          <w:w w:val="105"/>
          <w:sz w:val="18"/>
        </w:rPr>
        <w:t xml:space="preserve"> </w:t>
      </w:r>
      <w:r>
        <w:rPr>
          <w:w w:val="105"/>
          <w:sz w:val="18"/>
        </w:rPr>
        <w:t>stock</w:t>
      </w:r>
      <w:r>
        <w:rPr>
          <w:spacing w:val="-3"/>
          <w:w w:val="105"/>
          <w:sz w:val="18"/>
        </w:rPr>
        <w:t xml:space="preserve"> </w:t>
      </w:r>
      <w:r>
        <w:rPr>
          <w:w w:val="105"/>
          <w:sz w:val="18"/>
        </w:rPr>
        <w:t>exchange(s)</w:t>
      </w:r>
      <w:r>
        <w:rPr>
          <w:spacing w:val="-8"/>
          <w:w w:val="105"/>
          <w:sz w:val="18"/>
        </w:rPr>
        <w:t xml:space="preserve"> </w:t>
      </w:r>
      <w:r>
        <w:rPr>
          <w:w w:val="105"/>
          <w:sz w:val="18"/>
        </w:rPr>
        <w:t>on</w:t>
      </w:r>
      <w:r>
        <w:rPr>
          <w:spacing w:val="-4"/>
          <w:w w:val="105"/>
          <w:sz w:val="18"/>
        </w:rPr>
        <w:t xml:space="preserve"> </w:t>
      </w:r>
      <w:r>
        <w:rPr>
          <w:w w:val="105"/>
          <w:sz w:val="18"/>
        </w:rPr>
        <w:t>which</w:t>
      </w:r>
      <w:r>
        <w:rPr>
          <w:spacing w:val="-4"/>
          <w:w w:val="105"/>
          <w:sz w:val="18"/>
        </w:rPr>
        <w:t xml:space="preserve"> </w:t>
      </w:r>
      <w:r>
        <w:rPr>
          <w:w w:val="105"/>
          <w:sz w:val="18"/>
        </w:rPr>
        <w:t>N</w:t>
      </w:r>
      <w:r w:rsidR="00BD1919">
        <w:rPr>
          <w:w w:val="105"/>
          <w:sz w:val="18"/>
        </w:rPr>
        <w:t>UAC</w:t>
      </w:r>
      <w:r>
        <w:rPr>
          <w:w w:val="105"/>
          <w:sz w:val="18"/>
        </w:rPr>
        <w:t>L</w:t>
      </w:r>
      <w:r>
        <w:rPr>
          <w:spacing w:val="-1"/>
          <w:w w:val="105"/>
          <w:sz w:val="18"/>
        </w:rPr>
        <w:t xml:space="preserve"> </w:t>
      </w:r>
      <w:r>
        <w:rPr>
          <w:w w:val="105"/>
          <w:sz w:val="18"/>
        </w:rPr>
        <w:t>is</w:t>
      </w:r>
      <w:r>
        <w:rPr>
          <w:spacing w:val="-2"/>
          <w:w w:val="105"/>
          <w:sz w:val="18"/>
        </w:rPr>
        <w:t xml:space="preserve"> </w:t>
      </w:r>
      <w:r>
        <w:rPr>
          <w:w w:val="105"/>
          <w:sz w:val="18"/>
        </w:rPr>
        <w:t>listed</w:t>
      </w:r>
      <w:r>
        <w:rPr>
          <w:spacing w:val="-2"/>
          <w:w w:val="105"/>
          <w:sz w:val="18"/>
        </w:rPr>
        <w:t xml:space="preserve"> </w:t>
      </w:r>
      <w:r>
        <w:rPr>
          <w:w w:val="105"/>
          <w:sz w:val="18"/>
        </w:rPr>
        <w:t>regarding</w:t>
      </w:r>
      <w:r>
        <w:rPr>
          <w:spacing w:val="-2"/>
          <w:w w:val="105"/>
          <w:sz w:val="18"/>
        </w:rPr>
        <w:t xml:space="preserve"> </w:t>
      </w:r>
      <w:r>
        <w:rPr>
          <w:w w:val="105"/>
          <w:sz w:val="18"/>
        </w:rPr>
        <w:t>such</w:t>
      </w:r>
      <w:r>
        <w:rPr>
          <w:spacing w:val="-1"/>
          <w:w w:val="105"/>
          <w:sz w:val="18"/>
        </w:rPr>
        <w:t xml:space="preserve"> </w:t>
      </w:r>
      <w:r>
        <w:rPr>
          <w:w w:val="105"/>
          <w:sz w:val="18"/>
        </w:rPr>
        <w:t>events or information, if they are considered as material.</w:t>
      </w:r>
    </w:p>
    <w:p w:rsidR="007918D8" w:rsidRDefault="007918D8">
      <w:pPr>
        <w:pStyle w:val="BodyText"/>
        <w:spacing w:before="4"/>
        <w:rPr>
          <w:sz w:val="19"/>
        </w:rPr>
      </w:pPr>
    </w:p>
    <w:p w:rsidR="007918D8" w:rsidRDefault="007950E7">
      <w:pPr>
        <w:pStyle w:val="ListParagraph"/>
        <w:numPr>
          <w:ilvl w:val="1"/>
          <w:numId w:val="1"/>
        </w:numPr>
        <w:tabs>
          <w:tab w:val="left" w:pos="797"/>
        </w:tabs>
        <w:spacing w:line="249" w:lineRule="auto"/>
        <w:ind w:right="116"/>
        <w:jc w:val="both"/>
        <w:rPr>
          <w:sz w:val="18"/>
        </w:rPr>
      </w:pPr>
      <w:r>
        <w:rPr>
          <w:w w:val="105"/>
          <w:sz w:val="18"/>
        </w:rPr>
        <w:t>In case where an event occurs or any information is available with the Company</w:t>
      </w:r>
      <w:r>
        <w:rPr>
          <w:w w:val="105"/>
          <w:sz w:val="18"/>
        </w:rPr>
        <w:t xml:space="preserve">, which has not been indicated in </w:t>
      </w:r>
      <w:r>
        <w:rPr>
          <w:b/>
          <w:w w:val="105"/>
          <w:sz w:val="18"/>
        </w:rPr>
        <w:t xml:space="preserve">Schedule III </w:t>
      </w:r>
      <w:r>
        <w:rPr>
          <w:w w:val="105"/>
          <w:sz w:val="18"/>
        </w:rPr>
        <w:t>of the said Regulation and which is considered as a material event by the Board of Directors of the Company, the Managing Director &amp; CEO of the Company shall</w:t>
      </w:r>
      <w:r>
        <w:rPr>
          <w:spacing w:val="-2"/>
          <w:w w:val="105"/>
          <w:sz w:val="18"/>
        </w:rPr>
        <w:t xml:space="preserve"> </w:t>
      </w:r>
      <w:r>
        <w:rPr>
          <w:w w:val="105"/>
          <w:sz w:val="18"/>
        </w:rPr>
        <w:t>make adequate</w:t>
      </w:r>
      <w:r>
        <w:rPr>
          <w:spacing w:val="-2"/>
          <w:w w:val="105"/>
          <w:sz w:val="18"/>
        </w:rPr>
        <w:t xml:space="preserve"> </w:t>
      </w:r>
      <w:r>
        <w:rPr>
          <w:w w:val="105"/>
          <w:sz w:val="18"/>
        </w:rPr>
        <w:t>disclosures to</w:t>
      </w:r>
      <w:r>
        <w:rPr>
          <w:spacing w:val="-1"/>
          <w:w w:val="105"/>
          <w:sz w:val="18"/>
        </w:rPr>
        <w:t xml:space="preserve"> </w:t>
      </w:r>
      <w:r>
        <w:rPr>
          <w:w w:val="105"/>
          <w:sz w:val="18"/>
        </w:rPr>
        <w:t>the stock</w:t>
      </w:r>
      <w:r>
        <w:rPr>
          <w:spacing w:val="-1"/>
          <w:w w:val="105"/>
          <w:sz w:val="18"/>
        </w:rPr>
        <w:t xml:space="preserve"> </w:t>
      </w:r>
      <w:r>
        <w:rPr>
          <w:w w:val="105"/>
          <w:sz w:val="18"/>
        </w:rPr>
        <w:t>exchange(s)</w:t>
      </w:r>
      <w:r>
        <w:rPr>
          <w:spacing w:val="-2"/>
          <w:w w:val="105"/>
          <w:sz w:val="18"/>
        </w:rPr>
        <w:t xml:space="preserve"> </w:t>
      </w:r>
      <w:r>
        <w:rPr>
          <w:w w:val="105"/>
          <w:sz w:val="18"/>
        </w:rPr>
        <w:t>on</w:t>
      </w:r>
      <w:r>
        <w:rPr>
          <w:spacing w:val="-1"/>
          <w:w w:val="105"/>
          <w:sz w:val="18"/>
        </w:rPr>
        <w:t xml:space="preserve"> </w:t>
      </w:r>
      <w:r>
        <w:rPr>
          <w:w w:val="105"/>
          <w:sz w:val="18"/>
        </w:rPr>
        <w:t>which N</w:t>
      </w:r>
      <w:r w:rsidR="00BD1919">
        <w:rPr>
          <w:w w:val="105"/>
          <w:sz w:val="18"/>
        </w:rPr>
        <w:t>UAC</w:t>
      </w:r>
      <w:r>
        <w:rPr>
          <w:w w:val="105"/>
          <w:sz w:val="18"/>
        </w:rPr>
        <w:t>L is listed regarding such events or information.</w:t>
      </w:r>
    </w:p>
    <w:p w:rsidR="007918D8" w:rsidRDefault="007918D8">
      <w:pPr>
        <w:pStyle w:val="BodyText"/>
        <w:rPr>
          <w:sz w:val="19"/>
        </w:rPr>
      </w:pPr>
    </w:p>
    <w:p w:rsidR="007918D8" w:rsidRDefault="007950E7">
      <w:pPr>
        <w:pStyle w:val="ListParagraph"/>
        <w:numPr>
          <w:ilvl w:val="0"/>
          <w:numId w:val="1"/>
        </w:numPr>
        <w:tabs>
          <w:tab w:val="left" w:pos="459"/>
        </w:tabs>
        <w:spacing w:line="252" w:lineRule="auto"/>
        <w:jc w:val="both"/>
        <w:rPr>
          <w:sz w:val="18"/>
        </w:rPr>
      </w:pPr>
      <w:r>
        <w:rPr>
          <w:w w:val="105"/>
          <w:sz w:val="18"/>
        </w:rPr>
        <w:t>The Managing Director &amp; CEO of the Company shall, with respect to the events or information disclosed under this regulation, make further disclosures to the stock exchange(s) for updating mater</w:t>
      </w:r>
      <w:r>
        <w:rPr>
          <w:w w:val="105"/>
          <w:sz w:val="18"/>
        </w:rPr>
        <w:t>ial developments as and when necessary, till such time the event is resolved/closed, with relevant explanations.</w:t>
      </w:r>
    </w:p>
    <w:p w:rsidR="007918D8" w:rsidRDefault="007918D8">
      <w:pPr>
        <w:pStyle w:val="BodyText"/>
        <w:spacing w:before="7"/>
      </w:pPr>
    </w:p>
    <w:p w:rsidR="007918D8" w:rsidRDefault="007950E7">
      <w:pPr>
        <w:pStyle w:val="ListParagraph"/>
        <w:numPr>
          <w:ilvl w:val="0"/>
          <w:numId w:val="1"/>
        </w:numPr>
        <w:tabs>
          <w:tab w:val="left" w:pos="459"/>
        </w:tabs>
        <w:spacing w:line="249" w:lineRule="auto"/>
        <w:jc w:val="both"/>
        <w:rPr>
          <w:sz w:val="18"/>
        </w:rPr>
      </w:pPr>
      <w:r>
        <w:rPr>
          <w:w w:val="105"/>
          <w:sz w:val="18"/>
        </w:rPr>
        <w:t>The Company</w:t>
      </w:r>
      <w:r>
        <w:rPr>
          <w:spacing w:val="-2"/>
          <w:w w:val="105"/>
          <w:sz w:val="18"/>
        </w:rPr>
        <w:t xml:space="preserve"> </w:t>
      </w:r>
      <w:r>
        <w:rPr>
          <w:w w:val="105"/>
          <w:sz w:val="18"/>
        </w:rPr>
        <w:t>shall</w:t>
      </w:r>
      <w:r>
        <w:rPr>
          <w:spacing w:val="-3"/>
          <w:w w:val="105"/>
          <w:sz w:val="18"/>
        </w:rPr>
        <w:t xml:space="preserve"> </w:t>
      </w:r>
      <w:r>
        <w:rPr>
          <w:w w:val="105"/>
          <w:sz w:val="18"/>
        </w:rPr>
        <w:t>disclose</w:t>
      </w:r>
      <w:r>
        <w:rPr>
          <w:spacing w:val="-3"/>
          <w:w w:val="105"/>
          <w:sz w:val="18"/>
        </w:rPr>
        <w:t xml:space="preserve"> </w:t>
      </w:r>
      <w:r>
        <w:rPr>
          <w:w w:val="105"/>
          <w:sz w:val="18"/>
        </w:rPr>
        <w:t>on its</w:t>
      </w:r>
      <w:r>
        <w:rPr>
          <w:spacing w:val="-1"/>
          <w:w w:val="105"/>
          <w:sz w:val="18"/>
        </w:rPr>
        <w:t xml:space="preserve"> </w:t>
      </w:r>
      <w:r>
        <w:rPr>
          <w:w w:val="105"/>
          <w:sz w:val="18"/>
        </w:rPr>
        <w:t>website</w:t>
      </w:r>
      <w:r>
        <w:rPr>
          <w:spacing w:val="-1"/>
          <w:w w:val="105"/>
          <w:sz w:val="18"/>
        </w:rPr>
        <w:t xml:space="preserve"> </w:t>
      </w:r>
      <w:r>
        <w:rPr>
          <w:w w:val="105"/>
          <w:sz w:val="18"/>
        </w:rPr>
        <w:t>all</w:t>
      </w:r>
      <w:r>
        <w:rPr>
          <w:spacing w:val="-3"/>
          <w:w w:val="105"/>
          <w:sz w:val="18"/>
        </w:rPr>
        <w:t xml:space="preserve"> </w:t>
      </w:r>
      <w:r>
        <w:rPr>
          <w:w w:val="105"/>
          <w:sz w:val="18"/>
        </w:rPr>
        <w:t>such</w:t>
      </w:r>
      <w:r>
        <w:rPr>
          <w:spacing w:val="-3"/>
          <w:w w:val="105"/>
          <w:sz w:val="18"/>
        </w:rPr>
        <w:t xml:space="preserve"> </w:t>
      </w:r>
      <w:r>
        <w:rPr>
          <w:w w:val="105"/>
          <w:sz w:val="18"/>
        </w:rPr>
        <w:t>events</w:t>
      </w:r>
      <w:r>
        <w:rPr>
          <w:spacing w:val="-1"/>
          <w:w w:val="105"/>
          <w:sz w:val="18"/>
        </w:rPr>
        <w:t xml:space="preserve"> </w:t>
      </w:r>
      <w:r>
        <w:rPr>
          <w:w w:val="105"/>
          <w:sz w:val="18"/>
        </w:rPr>
        <w:t>or information</w:t>
      </w:r>
      <w:r>
        <w:rPr>
          <w:spacing w:val="-3"/>
          <w:w w:val="105"/>
          <w:sz w:val="18"/>
        </w:rPr>
        <w:t xml:space="preserve"> </w:t>
      </w:r>
      <w:r>
        <w:rPr>
          <w:w w:val="105"/>
          <w:sz w:val="18"/>
        </w:rPr>
        <w:t>which has been</w:t>
      </w:r>
      <w:r>
        <w:rPr>
          <w:spacing w:val="-3"/>
          <w:w w:val="105"/>
          <w:sz w:val="18"/>
        </w:rPr>
        <w:t xml:space="preserve"> </w:t>
      </w:r>
      <w:r>
        <w:rPr>
          <w:w w:val="105"/>
          <w:sz w:val="18"/>
        </w:rPr>
        <w:t>disclosed</w:t>
      </w:r>
      <w:r>
        <w:rPr>
          <w:spacing w:val="-1"/>
          <w:w w:val="105"/>
          <w:sz w:val="18"/>
        </w:rPr>
        <w:t xml:space="preserve"> </w:t>
      </w:r>
      <w:r>
        <w:rPr>
          <w:w w:val="105"/>
          <w:sz w:val="18"/>
        </w:rPr>
        <w:t>to Stock Exchange(s) under this regulation.</w:t>
      </w:r>
    </w:p>
    <w:p w:rsidR="007918D8" w:rsidRDefault="007918D8">
      <w:pPr>
        <w:pStyle w:val="BodyText"/>
        <w:spacing w:before="10"/>
      </w:pPr>
    </w:p>
    <w:p w:rsidR="007918D8" w:rsidRDefault="007950E7">
      <w:pPr>
        <w:pStyle w:val="ListParagraph"/>
        <w:numPr>
          <w:ilvl w:val="0"/>
          <w:numId w:val="1"/>
        </w:numPr>
        <w:tabs>
          <w:tab w:val="left" w:pos="459"/>
        </w:tabs>
        <w:spacing w:line="249" w:lineRule="auto"/>
        <w:ind w:hanging="339"/>
        <w:jc w:val="both"/>
        <w:rPr>
          <w:sz w:val="18"/>
        </w:rPr>
      </w:pPr>
      <w:r>
        <w:rPr>
          <w:w w:val="105"/>
          <w:sz w:val="18"/>
        </w:rPr>
        <w:t xml:space="preserve">The Board of Directors of the Company shall have power to suitably modify or replace this Policy in part or in full as may be thought fit by them. All amendments to the SEBI (Listing Obligations and Disclosure Requirements) Regulations, 2015 from time to </w:t>
      </w:r>
      <w:r>
        <w:rPr>
          <w:w w:val="105"/>
          <w:sz w:val="18"/>
        </w:rPr>
        <w:t>time, shall automatically apply and the Company Secretary shall incorporate the same in this Policy with the approval of the Managing Director &amp; CEO of the Company.</w:t>
      </w:r>
    </w:p>
    <w:sectPr w:rsidR="007918D8" w:rsidSect="007950E7">
      <w:type w:val="continuous"/>
      <w:pgSz w:w="12240" w:h="15840"/>
      <w:pgMar w:top="1134" w:right="12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715"/>
    <w:multiLevelType w:val="hybridMultilevel"/>
    <w:tmpl w:val="3E4A1FB2"/>
    <w:lvl w:ilvl="0" w:tplc="61D47874">
      <w:start w:val="1"/>
      <w:numFmt w:val="decimal"/>
      <w:lvlText w:val="%1."/>
      <w:lvlJc w:val="left"/>
      <w:pPr>
        <w:ind w:left="458" w:hanging="257"/>
        <w:jc w:val="right"/>
      </w:pPr>
      <w:rPr>
        <w:rFonts w:ascii="Verdana" w:eastAsia="Verdana" w:hAnsi="Verdana" w:cs="Verdana" w:hint="default"/>
        <w:b w:val="0"/>
        <w:bCs w:val="0"/>
        <w:i w:val="0"/>
        <w:iCs w:val="0"/>
        <w:spacing w:val="0"/>
        <w:w w:val="103"/>
        <w:sz w:val="18"/>
        <w:szCs w:val="18"/>
        <w:lang w:val="en-US" w:eastAsia="en-US" w:bidi="ar-SA"/>
      </w:rPr>
    </w:lvl>
    <w:lvl w:ilvl="1" w:tplc="7A28E6CC">
      <w:start w:val="1"/>
      <w:numFmt w:val="lowerLetter"/>
      <w:lvlText w:val="%2."/>
      <w:lvlJc w:val="left"/>
      <w:pPr>
        <w:ind w:left="796" w:hanging="255"/>
        <w:jc w:val="left"/>
      </w:pPr>
      <w:rPr>
        <w:rFonts w:ascii="Verdana" w:eastAsia="Verdana" w:hAnsi="Verdana" w:cs="Verdana" w:hint="default"/>
        <w:b w:val="0"/>
        <w:bCs w:val="0"/>
        <w:i w:val="0"/>
        <w:iCs w:val="0"/>
        <w:w w:val="103"/>
        <w:sz w:val="18"/>
        <w:szCs w:val="18"/>
        <w:lang w:val="en-US" w:eastAsia="en-US" w:bidi="ar-SA"/>
      </w:rPr>
    </w:lvl>
    <w:lvl w:ilvl="2" w:tplc="E0E44E38">
      <w:numFmt w:val="bullet"/>
      <w:lvlText w:val="•"/>
      <w:lvlJc w:val="left"/>
      <w:pPr>
        <w:ind w:left="1846" w:hanging="255"/>
      </w:pPr>
      <w:rPr>
        <w:rFonts w:hint="default"/>
        <w:lang w:val="en-US" w:eastAsia="en-US" w:bidi="ar-SA"/>
      </w:rPr>
    </w:lvl>
    <w:lvl w:ilvl="3" w:tplc="4060FAB4">
      <w:numFmt w:val="bullet"/>
      <w:lvlText w:val="•"/>
      <w:lvlJc w:val="left"/>
      <w:pPr>
        <w:ind w:left="2893" w:hanging="255"/>
      </w:pPr>
      <w:rPr>
        <w:rFonts w:hint="default"/>
        <w:lang w:val="en-US" w:eastAsia="en-US" w:bidi="ar-SA"/>
      </w:rPr>
    </w:lvl>
    <w:lvl w:ilvl="4" w:tplc="96C6D3B4">
      <w:numFmt w:val="bullet"/>
      <w:lvlText w:val="•"/>
      <w:lvlJc w:val="left"/>
      <w:pPr>
        <w:ind w:left="3940" w:hanging="255"/>
      </w:pPr>
      <w:rPr>
        <w:rFonts w:hint="default"/>
        <w:lang w:val="en-US" w:eastAsia="en-US" w:bidi="ar-SA"/>
      </w:rPr>
    </w:lvl>
    <w:lvl w:ilvl="5" w:tplc="31FA9DD6">
      <w:numFmt w:val="bullet"/>
      <w:lvlText w:val="•"/>
      <w:lvlJc w:val="left"/>
      <w:pPr>
        <w:ind w:left="4986" w:hanging="255"/>
      </w:pPr>
      <w:rPr>
        <w:rFonts w:hint="default"/>
        <w:lang w:val="en-US" w:eastAsia="en-US" w:bidi="ar-SA"/>
      </w:rPr>
    </w:lvl>
    <w:lvl w:ilvl="6" w:tplc="9F74B6D6">
      <w:numFmt w:val="bullet"/>
      <w:lvlText w:val="•"/>
      <w:lvlJc w:val="left"/>
      <w:pPr>
        <w:ind w:left="6033" w:hanging="255"/>
      </w:pPr>
      <w:rPr>
        <w:rFonts w:hint="default"/>
        <w:lang w:val="en-US" w:eastAsia="en-US" w:bidi="ar-SA"/>
      </w:rPr>
    </w:lvl>
    <w:lvl w:ilvl="7" w:tplc="AFAE2008">
      <w:numFmt w:val="bullet"/>
      <w:lvlText w:val="•"/>
      <w:lvlJc w:val="left"/>
      <w:pPr>
        <w:ind w:left="7080" w:hanging="255"/>
      </w:pPr>
      <w:rPr>
        <w:rFonts w:hint="default"/>
        <w:lang w:val="en-US" w:eastAsia="en-US" w:bidi="ar-SA"/>
      </w:rPr>
    </w:lvl>
    <w:lvl w:ilvl="8" w:tplc="48E4AF28">
      <w:numFmt w:val="bullet"/>
      <w:lvlText w:val="•"/>
      <w:lvlJc w:val="left"/>
      <w:pPr>
        <w:ind w:left="8126" w:hanging="25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compat>
    <w:ulTrailSpace/>
    <w:shapeLayoutLikeWW8/>
  </w:compat>
  <w:rsids>
    <w:rsidRoot w:val="007918D8"/>
    <w:rsid w:val="005430C8"/>
    <w:rsid w:val="006D24FA"/>
    <w:rsid w:val="007918D8"/>
    <w:rsid w:val="007950E7"/>
    <w:rsid w:val="00BD191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18D8"/>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18D8"/>
    <w:rPr>
      <w:sz w:val="18"/>
      <w:szCs w:val="18"/>
    </w:rPr>
  </w:style>
  <w:style w:type="paragraph" w:styleId="Title">
    <w:name w:val="Title"/>
    <w:basedOn w:val="Normal"/>
    <w:uiPriority w:val="1"/>
    <w:qFormat/>
    <w:rsid w:val="007918D8"/>
    <w:pPr>
      <w:spacing w:before="104"/>
      <w:ind w:left="2683" w:right="2344"/>
      <w:jc w:val="center"/>
    </w:pPr>
    <w:rPr>
      <w:b/>
      <w:bCs/>
      <w:sz w:val="26"/>
      <w:szCs w:val="26"/>
    </w:rPr>
  </w:style>
  <w:style w:type="paragraph" w:styleId="ListParagraph">
    <w:name w:val="List Paragraph"/>
    <w:basedOn w:val="Normal"/>
    <w:uiPriority w:val="1"/>
    <w:qFormat/>
    <w:rsid w:val="007918D8"/>
    <w:pPr>
      <w:ind w:left="458" w:right="115" w:hanging="257"/>
      <w:jc w:val="both"/>
    </w:pPr>
  </w:style>
  <w:style w:type="paragraph" w:customStyle="1" w:styleId="TableParagraph">
    <w:name w:val="Table Paragraph"/>
    <w:basedOn w:val="Normal"/>
    <w:uiPriority w:val="1"/>
    <w:qFormat/>
    <w:rsid w:val="007918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for disclosure &amp; determination of Materiality as per SEBI _LODR_Reg. 2015_modified 01.11.2015</dc:title>
  <dc:creator>Rahul</dc:creator>
  <cp:lastModifiedBy>Nicco2</cp:lastModifiedBy>
  <cp:revision>3</cp:revision>
  <cp:lastPrinted>2023-06-02T07:26:00Z</cp:lastPrinted>
  <dcterms:created xsi:type="dcterms:W3CDTF">2023-06-02T07:26:00Z</dcterms:created>
  <dcterms:modified xsi:type="dcterms:W3CDTF">2023-06-02T07:28:00Z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ionDate--Text">
    <vt:lpwstr>D:2016021711485606'-30'</vt:lpwstr>
  </property>
  <property fmtid="{D5CDD505-2E9C-101B-9397-08002B2CF9AE}" pid="4" name="Creator">
    <vt:lpwstr>PrimoPDF http://www.primopdf.com/</vt:lpwstr>
  </property>
  <property fmtid="{D5CDD505-2E9C-101B-9397-08002B2CF9AE}" pid="5" name="LastSaved">
    <vt:filetime>2023-06-02T00:00:00Z</vt:filetime>
  </property>
  <property fmtid="{D5CDD505-2E9C-101B-9397-08002B2CF9AE}" pid="6" name="ModDate--Text">
    <vt:lpwstr>D:2016021711485606'-30'</vt:lpwstr>
  </property>
  <property fmtid="{D5CDD505-2E9C-101B-9397-08002B2CF9AE}" pid="7" name="Producer">
    <vt:lpwstr>PrimoPDF</vt:lpwstr>
  </property>
</Properties>
</file>